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7D252" w14:textId="77777777" w:rsidR="00113442" w:rsidRPr="00113442" w:rsidRDefault="00113442" w:rsidP="00113442">
      <w:pPr>
        <w:rPr>
          <w:b/>
          <w:bCs/>
          <w:sz w:val="36"/>
          <w:szCs w:val="36"/>
        </w:rPr>
      </w:pPr>
      <w:r w:rsidRPr="00113442">
        <w:rPr>
          <w:b/>
          <w:bCs/>
          <w:sz w:val="36"/>
          <w:szCs w:val="36"/>
        </w:rPr>
        <w:t>Prohlášení předsedy G20 č. 1</w:t>
      </w:r>
    </w:p>
    <w:p w14:paraId="6B7C5F17" w14:textId="77777777" w:rsidR="00113442" w:rsidRPr="00113442" w:rsidRDefault="00113442" w:rsidP="00113442">
      <w:r w:rsidRPr="00113442">
        <w:t>1. září 2026</w:t>
      </w:r>
    </w:p>
    <w:p w14:paraId="1D58E440" w14:textId="77777777" w:rsidR="00113442" w:rsidRPr="00113442" w:rsidRDefault="00113442" w:rsidP="00113442">
      <w:pPr>
        <w:rPr>
          <w:b/>
          <w:bCs/>
        </w:rPr>
      </w:pPr>
      <w:r w:rsidRPr="00113442">
        <w:rPr>
          <w:b/>
          <w:bCs/>
        </w:rPr>
        <w:t>Druhé setkání ministrů financí a guvernérů centrálních bank G20</w:t>
      </w:r>
      <w:r w:rsidRPr="00113442">
        <w:rPr>
          <w:b/>
          <w:bCs/>
        </w:rPr>
        <w:br/>
        <w:t xml:space="preserve">v </w:t>
      </w:r>
      <w:proofErr w:type="spellStart"/>
      <w:r w:rsidRPr="00113442">
        <w:rPr>
          <w:b/>
          <w:bCs/>
        </w:rPr>
        <w:t>Asheville</w:t>
      </w:r>
      <w:proofErr w:type="spellEnd"/>
      <w:r w:rsidRPr="00113442">
        <w:rPr>
          <w:b/>
          <w:bCs/>
        </w:rPr>
        <w:t>, Spojené státy americké</w:t>
      </w:r>
    </w:p>
    <w:p w14:paraId="76393E7E" w14:textId="77777777" w:rsidR="00113442" w:rsidRPr="00113442" w:rsidRDefault="00113442" w:rsidP="00113442">
      <w:pPr>
        <w:numPr>
          <w:ilvl w:val="0"/>
          <w:numId w:val="1"/>
        </w:numPr>
      </w:pPr>
      <w:r w:rsidRPr="00113442">
        <w:t>My, ministři financí a guvernéři centrálních bank G</w:t>
      </w:r>
      <w:proofErr w:type="gramStart"/>
      <w:r w:rsidRPr="00113442">
        <w:t>20 ,</w:t>
      </w:r>
      <w:proofErr w:type="gramEnd"/>
      <w:r w:rsidRPr="00113442">
        <w:t xml:space="preserve"> kteří jsme se sešli v </w:t>
      </w:r>
      <w:proofErr w:type="spellStart"/>
      <w:r w:rsidRPr="00113442">
        <w:t>Asheville</w:t>
      </w:r>
      <w:proofErr w:type="spellEnd"/>
      <w:r w:rsidRPr="00113442">
        <w:t xml:space="preserve"> v Severní Karolíně 31. srpna a 1. září 2026, jsme se sešli, abychom prosadili priority finanční strategie G20 pro rok 2026. Uvítali jsme zapojení pozvaných hostujících zemí2 a mezinárodních organizací.3 Připojili se k nám také zástupci soukromého sektoru, abychom diskutovali o tom, jak mohou země G20 podporovat růst a inovace řízené soukromým sektorem.</w:t>
      </w:r>
    </w:p>
    <w:p w14:paraId="0D1F6069" w14:textId="77777777" w:rsidR="00113442" w:rsidRPr="00113442" w:rsidRDefault="00113442" w:rsidP="00113442">
      <w:pPr>
        <w:numPr>
          <w:ilvl w:val="0"/>
          <w:numId w:val="1"/>
        </w:numPr>
      </w:pPr>
      <w:r w:rsidRPr="00113442">
        <w:t xml:space="preserve">Vážíme si pohostinnosti občanů </w:t>
      </w:r>
      <w:proofErr w:type="spellStart"/>
      <w:r w:rsidRPr="00113442">
        <w:t>Asheville</w:t>
      </w:r>
      <w:proofErr w:type="spellEnd"/>
      <w:r w:rsidRPr="00113442">
        <w:t xml:space="preserve"> a západní Severní Karolíny a chválíme jak pokrok dosažený v revitalizaci regionu, tak odolnost jeho obyvatel po ničivém hurikánu Helene.</w:t>
      </w:r>
    </w:p>
    <w:p w14:paraId="07C260B5" w14:textId="77777777" w:rsidR="00113442" w:rsidRPr="00113442" w:rsidRDefault="00113442" w:rsidP="00113442">
      <w:pPr>
        <w:numPr>
          <w:ilvl w:val="0"/>
          <w:numId w:val="1"/>
        </w:numPr>
      </w:pPr>
      <w:r w:rsidRPr="00113442">
        <w:t>Vítáme zaměření předsednictví Spojených států v rámci skupiny G20 na podporu silného hospodářského růstu a oceňujeme úspěchy dosažené v rámci klíčových priorit, včetně zapojení soukromého sektoru, růstu produktivity, globálních nerovnováh, finanční gramotnosti, státního dluhu, digitálních aktiv a otázek finančního sektoru. Vítáme také úspěšné zefektivnění struktury a agendy finančního okruhu G20 za amerického předsednictví, zvýšení jeho efektivity a posílení jeho zaměření na klíčové hospodářské a finanční priority. Budeme i nadále zajišťovat, aby finanční okruh G20 odpovídal svému účelu a reagoval na potřeby.</w:t>
      </w:r>
    </w:p>
    <w:p w14:paraId="4704BAF2" w14:textId="77777777" w:rsidR="00113442" w:rsidRPr="00113442" w:rsidRDefault="00113442" w:rsidP="00113442">
      <w:pPr>
        <w:rPr>
          <w:b/>
          <w:bCs/>
        </w:rPr>
      </w:pPr>
      <w:r w:rsidRPr="00113442">
        <w:rPr>
          <w:b/>
          <w:bCs/>
        </w:rPr>
        <w:t>Podpora globálního hospodářského růstu</w:t>
      </w:r>
    </w:p>
    <w:p w14:paraId="1B84C2CA" w14:textId="77777777" w:rsidR="00113442" w:rsidRPr="00113442" w:rsidRDefault="00113442" w:rsidP="00113442">
      <w:pPr>
        <w:numPr>
          <w:ilvl w:val="0"/>
          <w:numId w:val="2"/>
        </w:numPr>
      </w:pPr>
      <w:r w:rsidRPr="00113442">
        <w:t xml:space="preserve">Globální ekonomika zůstala odolná tváří v tvář četným otřesům, včetně probíhajících válek a konfliktů. Zajištění efektivního a bezproblémového fungování klíčových hodnotových řetězců, jako jsou energie, potraviny, hnojiva a kritické minerály, je nezbytné pro podporu globálního růstu. Jsme znepokojeni pokračujícím narušením obchodu s energií a zdůrazňujeme, že volná, bezpečná a předvídatelná plavba </w:t>
      </w:r>
      <w:proofErr w:type="spellStart"/>
      <w:r w:rsidRPr="00113442">
        <w:t>Hormuzským</w:t>
      </w:r>
      <w:proofErr w:type="spellEnd"/>
      <w:r w:rsidRPr="00113442">
        <w:t xml:space="preserve"> průlivem a po celém světě a řešení probíhajících válek a konfliktů jsou nezbytné pro udržení trvalého růstu.</w:t>
      </w:r>
    </w:p>
    <w:p w14:paraId="4F316FF0" w14:textId="77777777" w:rsidR="00113442" w:rsidRPr="00113442" w:rsidRDefault="00113442" w:rsidP="00113442">
      <w:pPr>
        <w:numPr>
          <w:ilvl w:val="0"/>
          <w:numId w:val="3"/>
        </w:numPr>
      </w:pPr>
      <w:r w:rsidRPr="00113442">
        <w:t xml:space="preserve">Vzhledem k řadě rizik poklesu si uvědomujeme, že stabilní a předvídatelné makroekonomické prostředí hraje důležitou roli v podpoře růstu a zaměstnanosti, zejména v rozvojových zemích. Naléhavě vyzýváme země, aby se vyhnuly zbytečným vývozním omezením, aby zajistily i nadále normální fungování globálních dodavatelských řetězců. Vítáme společné prohlášení Multilaterální rozvojové banky (MDB), v němž potvrzují svůj závazek vypracovat plán MDB pro posílení dodavatelských řetězců hnojiv, který umožní podporu MDB ve </w:t>
      </w:r>
      <w:r w:rsidRPr="00113442">
        <w:lastRenderedPageBreak/>
        <w:t xml:space="preserve">všech segmentech dodavatelského řetězce hnojiv, včetně zvýšeného financování výroby hnojiv, předvýroby, zpracování, skladování, dopravy a další kritické infrastruktury. V případě potřeby a tam, kde je k dispozici fiskální prostor, mohou dočasná a cílená opatření pomoci reagovat na otřesy a omezit ekonomické dopady na nejchudší a nejzranitelnější, a zároveň zachovat udržitelnost dluhu. Naše fiskální politika ochrání fiskální udržitelnost a obnoví rezervy, podpoří růst a katalyzuje investice zvyšující produktivitu. Bereme na vědomí, že soukromé investice jsou důležitým motorem růstu. Vítáme potenciál investic do umělé inteligence, výpočetní techniky a digitální infrastruktury pro zvýšení produktivity a umožnění širokého přijetí, přičemž si uvědomujeme důležitost řešení rizik, včetně potenciálních rizik specifických pro finanční sektor a další odvětví, a využívání inovací založených na umělé inteligenci k posílení kybernetické odolnosti. Znovu potvrzujeme náš závazek </w:t>
      </w:r>
      <w:proofErr w:type="gramStart"/>
      <w:r w:rsidRPr="00113442">
        <w:t>k</w:t>
      </w:r>
      <w:proofErr w:type="gramEnd"/>
      <w:r w:rsidRPr="00113442">
        <w:t xml:space="preserve"> kurzovému poměru z dubna 2021.</w:t>
      </w:r>
    </w:p>
    <w:p w14:paraId="36A018A3" w14:textId="77777777" w:rsidR="00113442" w:rsidRPr="00113442" w:rsidRDefault="00113442" w:rsidP="00113442">
      <w:pPr>
        <w:numPr>
          <w:ilvl w:val="0"/>
          <w:numId w:val="4"/>
        </w:numPr>
      </w:pPr>
      <w:r w:rsidRPr="00113442">
        <w:t>Centrální banky jsou pevně odhodlány udržovat cenovou stabilitu a trvalou odolnost finančního systému, což podporuje robustní hospodářský růst, v souladu s jejich příslušnými mandáty. Nezávislost centrálních bank je klíčová pro provádění měnové politiky. Vzhledem k tomu, že umělá inteligence a další strukturální změny mění naše ekonomiky, budou se centrální banky snažit důsledně rozlišovat mezi nárůstem produktivní kapacity a změnami poptávky.</w:t>
      </w:r>
    </w:p>
    <w:p w14:paraId="36DE05E0" w14:textId="77777777" w:rsidR="00113442" w:rsidRPr="00113442" w:rsidRDefault="00113442" w:rsidP="00113442">
      <w:pPr>
        <w:numPr>
          <w:ilvl w:val="0"/>
          <w:numId w:val="5"/>
        </w:numPr>
      </w:pPr>
      <w:r w:rsidRPr="00113442">
        <w:t xml:space="preserve">Podpora růstu je klíčovou prioritou v našich ekonomikách; prorůstové hospodářské politiky rozšiřují hranice globální prosperity pro všechny. Identifikovali jsme významné společné překážky robustního hospodářského růstu, včetně regulační a administrativní zátěže; neefektivních daňových režimů; nedostatečných investic; vysokých kapitálových nákladů; a zaostávající nabídky pracovní síly, dovedností a mobility. Pracujeme na řešení těchto překážek prostřednictvím řady politik a přístupů, včetně zjednodušování a snižování byrokracie a předpisů, které jsou příliš zatěžující; zvyšování účasti na trhu práce; snižování třecích momentů na trhu práce; posilování lidského kapitálu; podpory kvalitních investic; vítání inovací; a podpory daňových režimů, které podporují široký růst a prosperitu. Uznáváme, že umělá inteligence je technologie pro všeobecné použití s </w:t>
      </w:r>
      <w:r w:rsidRPr="00113442">
        <w:rPr>
          <w:rFonts w:ascii="Cambria Math" w:hAnsi="Cambria Math" w:cs="Cambria Math"/>
        </w:rPr>
        <w:t>​​</w:t>
      </w:r>
      <w:r w:rsidRPr="00113442">
        <w:t xml:space="preserve">potenciálem mít hluboký dopad na globální ekonomiku. Ekonomiky, které přijmou její zodpovědný rozvoj, přijetí a šíření, pravděpodobně udají tempo globálního růstu v nadcházejících letech. Hojný a cenově dostupný přístup k energii, investice do kvalitní infrastruktury, předvídatelné investiční prostředí podpořené makroekonomickou stabilitou a právním státem a zodpovědné přijetí umělé inteligence a dalších nově vznikajících technologií pomohou růstu usnadnit. Posílení mobilizace domácích zdrojů a řešení nelegálního financování může pomoci odstranit důležitá strukturální omezení investic, </w:t>
      </w:r>
      <w:r w:rsidRPr="00113442">
        <w:lastRenderedPageBreak/>
        <w:t>posílit makroekonomickou odolnost a podpořit silnější a trvalejší růst.</w:t>
      </w:r>
    </w:p>
    <w:p w14:paraId="7E9421FC" w14:textId="77777777" w:rsidR="00113442" w:rsidRPr="00113442" w:rsidRDefault="00113442" w:rsidP="00113442">
      <w:pPr>
        <w:numPr>
          <w:ilvl w:val="0"/>
          <w:numId w:val="6"/>
        </w:numPr>
      </w:pPr>
      <w:r w:rsidRPr="00113442">
        <w:t>Mezinárodní organizace hrají důležitou roli v napomáhání dosažení silnějších výsledků růstu. V tomto ohledu vyzýváme MMF, Skupinu Světové banky a OECD, aby v souladu s jejich příslušnými mandáty podpořily naše úsilí prostřednictvím dalších analýz a politického poradenství ohledně opatření k překonání strukturálních překážek, zvýšení produktivity, posílení makroekonomických rámců a podpoře robustního, trvalého a vyváženého růstu. Podporujeme práci OECD v oblasti dopadu daňových politik a systémů zemí na dynamiku podnikání a očekáváme průběžnou zprávu OECD do konce roku. Vyzýváme Skupinu Světové banky a další multilaterální rozvojové banky, aby v souladu s jejich příslušnými mandáty spolupracovaly s členy na politických reformách, které řeší klíčové makroekonomické a rozvojové výzvy, a na cílených investicích s prokazatelnými výnosy z hlediska produktivity, růstu a zaměstnanosti.</w:t>
      </w:r>
    </w:p>
    <w:p w14:paraId="13E8C8EB" w14:textId="77777777" w:rsidR="00113442" w:rsidRPr="00113442" w:rsidRDefault="00113442" w:rsidP="00113442">
      <w:pPr>
        <w:numPr>
          <w:ilvl w:val="0"/>
          <w:numId w:val="7"/>
        </w:numPr>
      </w:pPr>
      <w:r w:rsidRPr="00113442">
        <w:t>Potvrzujeme klíčovou roli soukromého sektoru v podpoře širokého hospodářského růstu, vytváření pracovních míst a inovací. Letos jsme se soukromým sektorem přímo angažovali na našich setkáních finanční skupiny G20 a budeme pokračovat v naší příslušné spolupráci s účastníky ze soukromého sektoru v našich jurisdikcích prostřednictvím mechanismů, jako jsou široké veřejné konzultace, cílené zapojení zúčastněných stran a institucionalizované modely partnerství. Naše diskuse zdůraznily, že trvalý růst je posílen podpůrným podnikatelským prostředím, které poskytuje jasnost politik a podporuje inovace, investice, rozvoj dovedností a efektivní spolupráci veřejného a soukromého sektoru. Vyzýváme mezinárodní normalizační orgány, aby podporovaly inovace vedené soukromým sektorem a aby se zavázaly k zásadě, že normy by měly být dobře kalibrované a vhodné pro daný účel. Zavazujeme se k další úzké spolupráci se soukromým sektorem s cílem zlepšit tvorbu politik, odstranit překážky a urychlit růst. Zejména se zavazujeme k politickým opatřením na podporu rozvoje malých a středních podniků, které jsou klíčovými hnacími silami růstu a zaměstnanosti. My, jako finanční skupina G20, budeme i nadále intenzivně spolupracovat se soukromým sektorem.</w:t>
      </w:r>
    </w:p>
    <w:p w14:paraId="6470A953" w14:textId="77777777" w:rsidR="00113442" w:rsidRPr="00113442" w:rsidRDefault="00113442" w:rsidP="00113442">
      <w:pPr>
        <w:rPr>
          <w:b/>
          <w:bCs/>
        </w:rPr>
      </w:pPr>
      <w:r w:rsidRPr="00113442">
        <w:rPr>
          <w:b/>
          <w:bCs/>
        </w:rPr>
        <w:t>Řešení globálních nerovnováh</w:t>
      </w:r>
    </w:p>
    <w:p w14:paraId="511CB9B5" w14:textId="77777777" w:rsidR="00113442" w:rsidRPr="00113442" w:rsidRDefault="00113442" w:rsidP="00113442">
      <w:pPr>
        <w:numPr>
          <w:ilvl w:val="0"/>
          <w:numId w:val="8"/>
        </w:numPr>
      </w:pPr>
      <w:r w:rsidRPr="00113442">
        <w:t xml:space="preserve">Uznáváme, že nadměrné a přetrvávající nerovnováhy představují rizika a mohou vytvářet ekonomické deformace a nepříznivé přeshraniční dopady, které brzdí růst, pohánějí a zhoršují nerovnováhy v jiných zemích, zvyšují zranitelnost ekonomiky a dodavatelského řetězce a snižují odolnost. Tyto škodlivé účinky mohou přispívat k ekonomickému napětí a potenciálním rizikům neuspořádaného přizpůsobení, a to i prostřednictvím finančního kanálu. Souhlasíme s tím, že země by měly podniknout kroky k odstranění netržních politik a praktik, které nerovnováhy zhoršují. </w:t>
      </w:r>
      <w:r w:rsidRPr="00113442">
        <w:lastRenderedPageBreak/>
        <w:t>Zejména země s nadměrnými a přetrvávajícími externími přebytky by měly odstranit deformace, které omezují domácí spotřebu a vedou k nadměrnému spoléhání se na vývoz pro růst. Tyto politiky a praktiky vedou ke škodlivým dopadům na globální, regionální a domácí trhy a zvyšují ekonomickou závislost. Země s nadměrnými a přetrvávajícími externími deficity by měly rovněž přijmout politiky, které zahrnují podporu domácích úspor a fiskální konsolidaci. Uznáváme, že nedostatečná úprava politik může narušit globální růst a odolnost. V tomto ohledu by byla vítána pokračující spolupráce G20, protože řešení těchto nerovnováh je ve společném zájmu jak pro přebytkové, tak pro deficitní ekonomiky. Vítáme produktivní diskuse studijní skupiny G20 pro globální nerovnováhy, která v červnu uzavřela svůj pracovní plán na rok 2026, a děkujeme Austrálii a Korejské republice za spolupředsednictví této skupiny.</w:t>
      </w:r>
    </w:p>
    <w:p w14:paraId="560D2573" w14:textId="77777777" w:rsidR="00113442" w:rsidRPr="00113442" w:rsidRDefault="00113442" w:rsidP="00113442">
      <w:pPr>
        <w:numPr>
          <w:ilvl w:val="0"/>
          <w:numId w:val="9"/>
        </w:numPr>
      </w:pPr>
      <w:r w:rsidRPr="00113442">
        <w:t>Zdůrazňujeme, že dohled nad globálními nerovnováhami je zakotven v mandátu MMF. Vítáme probíhající práci MMF na dalším posílení konzistence a nestrannosti jeho dohledu nad makroekonomickými faktory nerovnováh, jakož i nad deformujícími politikami a vnějšími i vnitřními dopady. Důrazně podporujeme letošní práci MMF na posílení jeho analytických nástrojů a zlepšení dohledu nad politikami, které podporují a pohánějí globální nerovnováhy a související rizika. Žádáme také MMF, aby předložil podrobnější analýzu scénářů, včetně nákladů na nečinnost, a aby tuto analýzu dále integroval do svého bilaterálního a multilaterálního dohledu a politického poradenství. OECD by také mohla hrát roli v analýze strukturálních faktorů globálních nerovnováh. Žádáme MMF a OECD, aby i nadále zlepšovaly data nezbytná pro robustní analýzu nerovnováh, včetně jejich pokrytí netržních politik a praktik, a aby v souladu se svými příslušnými mandáty a odbornými znalostmi zvážily zlepšení svých zdrojů dat.</w:t>
      </w:r>
    </w:p>
    <w:p w14:paraId="51629EAB" w14:textId="77777777" w:rsidR="00113442" w:rsidRPr="00113442" w:rsidRDefault="00113442" w:rsidP="00113442">
      <w:pPr>
        <w:rPr>
          <w:b/>
          <w:bCs/>
        </w:rPr>
      </w:pPr>
      <w:r w:rsidRPr="00113442">
        <w:rPr>
          <w:b/>
          <w:bCs/>
        </w:rPr>
        <w:t>Zvyšování globální finanční gramotnosti a vzdělávání</w:t>
      </w:r>
    </w:p>
    <w:p w14:paraId="4F6DE38E" w14:textId="77777777" w:rsidR="00113442" w:rsidRPr="00113442" w:rsidRDefault="00113442" w:rsidP="00113442">
      <w:pPr>
        <w:numPr>
          <w:ilvl w:val="0"/>
          <w:numId w:val="10"/>
        </w:numPr>
      </w:pPr>
      <w:r w:rsidRPr="00113442">
        <w:t xml:space="preserve">Uznáváme, že finanční gramotnost je základem finančního zdraví a pohody. Vítáme úsilí amerického předsednictví skupiny G20 upozornit na důležitost finanční gramotnosti na vysoké úrovni, mimo jiné prostřednictvím jarního setkání G20 </w:t>
      </w:r>
      <w:proofErr w:type="spellStart"/>
      <w:r w:rsidRPr="00113442">
        <w:t>Fireside</w:t>
      </w:r>
      <w:proofErr w:type="spellEnd"/>
      <w:r w:rsidRPr="00113442">
        <w:t xml:space="preserve"> Chat on </w:t>
      </w:r>
      <w:proofErr w:type="spellStart"/>
      <w:r w:rsidRPr="00113442">
        <w:t>Global</w:t>
      </w:r>
      <w:proofErr w:type="spellEnd"/>
      <w:r w:rsidRPr="00113442">
        <w:t xml:space="preserve"> </w:t>
      </w:r>
      <w:proofErr w:type="spellStart"/>
      <w:r w:rsidRPr="00113442">
        <w:t>Financial</w:t>
      </w:r>
      <w:proofErr w:type="spellEnd"/>
      <w:r w:rsidRPr="00113442">
        <w:t xml:space="preserve"> </w:t>
      </w:r>
      <w:proofErr w:type="spellStart"/>
      <w:r w:rsidRPr="00113442">
        <w:t>Literacy</w:t>
      </w:r>
      <w:proofErr w:type="spellEnd"/>
      <w:r w:rsidRPr="00113442">
        <w:t xml:space="preserve"> a sprintu </w:t>
      </w:r>
      <w:proofErr w:type="spellStart"/>
      <w:r w:rsidRPr="00113442">
        <w:t>Financial</w:t>
      </w:r>
      <w:proofErr w:type="spellEnd"/>
      <w:r w:rsidRPr="00113442">
        <w:t xml:space="preserve"> </w:t>
      </w:r>
      <w:proofErr w:type="spellStart"/>
      <w:r w:rsidRPr="00113442">
        <w:t>Literacy</w:t>
      </w:r>
      <w:proofErr w:type="spellEnd"/>
      <w:r w:rsidRPr="00113442">
        <w:t xml:space="preserve"> </w:t>
      </w:r>
      <w:proofErr w:type="spellStart"/>
      <w:r w:rsidRPr="00113442">
        <w:t>Solutions</w:t>
      </w:r>
      <w:proofErr w:type="spellEnd"/>
      <w:r w:rsidRPr="00113442">
        <w:t xml:space="preserve"> Sprint s podporou skupiny Světové banky, jehož vítězové budou vyhlášeni na výročním zasedání MMF a skupiny Světové banky v roce 2026 v Bangkoku v říjnu. Snažíme se rozšířit národní úsilí v oblasti finančního vzdělávání v našich jurisdikcích a propagovat využívání osvědčených postupů založených na důkazech na celém světě s cílem zlepšit finanční rozhodování ve všech fázích života. Snažíme se zaměřit na intervence v oblasti vzdělávání spotřebitelů, které podporují informovaná rozhodnutí o spoření, investování a budování bohatství v průběhu života jednotlivců, například prostřednictvím Trump </w:t>
      </w:r>
      <w:proofErr w:type="spellStart"/>
      <w:r w:rsidRPr="00113442">
        <w:t>Accounts</w:t>
      </w:r>
      <w:proofErr w:type="spellEnd"/>
      <w:r w:rsidRPr="00113442">
        <w:t xml:space="preserve"> ve Spojených státech, motivačních programů v řadě dalších zemí G20 </w:t>
      </w:r>
      <w:r w:rsidRPr="00113442">
        <w:lastRenderedPageBreak/>
        <w:t xml:space="preserve">ke </w:t>
      </w:r>
      <w:proofErr w:type="spellStart"/>
      <w:r w:rsidRPr="00113442">
        <w:t>katalyzaci</w:t>
      </w:r>
      <w:proofErr w:type="spellEnd"/>
      <w:r w:rsidRPr="00113442">
        <w:t xml:space="preserve"> úspor a investic, jakož i dalších národních iniciativ. Podpora úspor a zodpovědného investování posiluje růst a podporuje osobní odpovědnost a finanční nezávislost. Uznáváme, že finanční vzdělávání může spotřebitelům pomoci chránit jejich osobní finance a posílit finanční odolnost tím, že jim poskytne znalosti a nástroje k identifikaci a předcházení pokusům o podvody. Vítáme úsilí soukromého sektoru a dalších zúčastněných stran o pomoc s identifikací inovativních přístupů k uvolnění finančních příležitostí na celém světě a podpoře hospodářského růstu a o podporu objektivity, kvality a širokého přístupu k programům finanční gramotnosti. Vyzýváme členy G20, aby i nadále rozvíjeli globální finanční gramotnost a finanční zdraví, a to i prostřednictvím mezinárodní spolupráce.</w:t>
      </w:r>
    </w:p>
    <w:p w14:paraId="45BFABD5" w14:textId="77777777" w:rsidR="00113442" w:rsidRPr="00113442" w:rsidRDefault="00113442" w:rsidP="00113442">
      <w:pPr>
        <w:rPr>
          <w:b/>
          <w:bCs/>
        </w:rPr>
      </w:pPr>
      <w:r w:rsidRPr="00113442">
        <w:rPr>
          <w:b/>
          <w:bCs/>
        </w:rPr>
        <w:t>Zlepšení globální architektury státního dluhu</w:t>
      </w:r>
    </w:p>
    <w:p w14:paraId="652FDDC6" w14:textId="77777777" w:rsidR="00113442" w:rsidRPr="00113442" w:rsidRDefault="00113442" w:rsidP="00113442">
      <w:pPr>
        <w:numPr>
          <w:ilvl w:val="0"/>
          <w:numId w:val="11"/>
        </w:numPr>
      </w:pPr>
      <w:r w:rsidRPr="00113442">
        <w:t xml:space="preserve">Jsme i nadále odhodláni řešit přetrvávající výzvy v oblasti udržitelnosti dluhu a uznáváme potřebu rychlejšího a předvídatelnějšího nakládání s dluhy pro zlepšení udržitelnosti dluhu a výsledků růstu. Znovu potvrzujeme trvalý závazek skupiny G20 dále posilovat provádění společného rámce G20 předvídatelným, včasným, uspořádaným a koordinovaným způsobem a potvrzujeme naši solidaritu, která zachovává flexibilitu v případě potřeby a zároveň vyzývá ke společným krokům a spravedlivému rozdělení zátěže. Prohlubujeme naše úsilí o uplatňování poznatků získaných ze společného rámce v zemích, kde členové G20 dluží významný podíl externího dluhu. V takových případech může širší koordinace mezi oficiálními věřiteli G20 pomoci zefektivnit restrukturalizaci dluhu. Vítáme také pokrok v implementaci </w:t>
      </w:r>
      <w:proofErr w:type="spellStart"/>
      <w:r w:rsidRPr="00113442">
        <w:t>třípilířového</w:t>
      </w:r>
      <w:proofErr w:type="spellEnd"/>
      <w:r w:rsidRPr="00113442">
        <w:t xml:space="preserve"> přístupu Skupiny MMF a Světové banky, jehož cílem je podporovat země s udržitelnou dluhovou zátěží a silnými reformními programy, které však čelí vysokým platbám dluhové služby, jež vytlačují investice podporující růst. Doporučujeme další posilování implementace </w:t>
      </w:r>
      <w:proofErr w:type="spellStart"/>
      <w:r w:rsidRPr="00113442">
        <w:t>třípilířového</w:t>
      </w:r>
      <w:proofErr w:type="spellEnd"/>
      <w:r w:rsidRPr="00113442">
        <w:t xml:space="preserve"> přístupu, a to i prostřednictvím vhodných příspěvků příslušných zúčastněných stran, včetně oficiálních bilaterálních věřitelů.</w:t>
      </w:r>
    </w:p>
    <w:p w14:paraId="785BD522" w14:textId="77777777" w:rsidR="00113442" w:rsidRPr="00113442" w:rsidRDefault="00113442" w:rsidP="00113442">
      <w:pPr>
        <w:numPr>
          <w:ilvl w:val="0"/>
          <w:numId w:val="12"/>
        </w:numPr>
      </w:pPr>
      <w:r w:rsidRPr="00113442">
        <w:t>Uznáváme důležitou roli, kterou transparentnost údajů o dluhu hraje při posilování mezinárodní dluhové architektury. Za tímto účelem vítáme zveřejnění ilustrativního, nezávazného vzorového memoranda o porozumění skupiny G20, které podrobně popisuje klíčové podmínky zacházení se státním dluhem, pro použití v budoucích jednáních v rámci společného rámce. Oceňujeme také úsilí Globálního kulatého stolu o státním dluhu (GSDR) o aktualizaci postupů pro země dlužnice. V neposlední řadě podporujeme práci Systému hlášení dlužníků Světové banky na zlepšení transparentnosti dluhu. Doporučujeme větší účast skupiny G20 v programu Sdílení údajů o dluhu Světové banky s cílem napomoci sladění údajů o dluhu a zlepšit jejich přesnost v souladu s právními a důvěrnými zárukami.</w:t>
      </w:r>
    </w:p>
    <w:p w14:paraId="760C823E" w14:textId="77777777" w:rsidR="00113442" w:rsidRPr="00113442" w:rsidRDefault="00113442" w:rsidP="00113442">
      <w:pPr>
        <w:rPr>
          <w:b/>
          <w:bCs/>
        </w:rPr>
      </w:pPr>
      <w:r w:rsidRPr="00113442">
        <w:rPr>
          <w:b/>
          <w:bCs/>
        </w:rPr>
        <w:t>Podpora inovací ve finančním sektoru a modernizace regulace</w:t>
      </w:r>
    </w:p>
    <w:p w14:paraId="58ED7F54" w14:textId="77777777" w:rsidR="00113442" w:rsidRPr="00113442" w:rsidRDefault="00113442" w:rsidP="00113442">
      <w:pPr>
        <w:numPr>
          <w:ilvl w:val="0"/>
          <w:numId w:val="13"/>
        </w:numPr>
      </w:pPr>
      <w:r w:rsidRPr="00113442">
        <w:lastRenderedPageBreak/>
        <w:t xml:space="preserve">Jsme odhodláni modernizovat naše regulační a dohledové rámce s cílem zajistit finanční stabilitu a podpořit odolnost a efektivitu našich finančních systémů s cílem podpořit silný a trvalý hospodářský růst. Podporujeme práci Rady pro finanční stabilitu (FSB) a potvrzujeme náš závazek řešit potenciální zranitelnosti finančního sektoru. S netrpělivostí očekáváme výsledky hodnocení FSB, které identifikuje rozsáhlé snahy o modernizaci regulace a dohledu ve všech jurisdikcích, a těšíme se na nadcházející konzultační zprávu FSB s principy, které budou řídit úsilí jurisdikcí o modernizaci politik finančního sektoru a udržení finanční stability. S netrpělivostí očekáváme také přezkum monitorování implementace ze strany FSB, který hodnotí a identifikuje potenciální příležitosti ke zlepšení způsobu, jakým FSB podporuje a monitoruje implementaci svých doporučení. Těšíme se na dokončení dokumentu FSB o osvědčených postupech pro zodpovědné zavádění umělé inteligence. Sdíleli jsme také aktuální informace o našich příslušných návrzích a regulacích, včetně implementace závěrečných složek </w:t>
      </w:r>
      <w:proofErr w:type="spellStart"/>
      <w:r w:rsidRPr="00113442">
        <w:t>Basel</w:t>
      </w:r>
      <w:proofErr w:type="spellEnd"/>
      <w:r w:rsidRPr="00113442">
        <w:t xml:space="preserve"> III. Obnovujeme naši podporu implementaci klíčových atributů účinných režimů řešení krize, které vypracovala Rada pro finanční stabilitu (FSB), a těšíme se na nadcházející zjištění a doporučení FSB z jejího tematického vzájemného hodnocení mechanismů financování veřejného sektoru.</w:t>
      </w:r>
    </w:p>
    <w:p w14:paraId="2A3AAEA1" w14:textId="77777777" w:rsidR="00113442" w:rsidRPr="00113442" w:rsidRDefault="00113442" w:rsidP="00113442">
      <w:pPr>
        <w:numPr>
          <w:ilvl w:val="0"/>
          <w:numId w:val="14"/>
        </w:numPr>
      </w:pPr>
      <w:r w:rsidRPr="00113442">
        <w:t xml:space="preserve">Uznáváme transformační roli, kterou digitální finanční inovace, včetně digitálních aktiv, mohou hrát při podpoře širokého hospodářského růstu, a klíčovou roli soukromého sektoru v hnací síle těchto inovací. Uznáváme také důležitost ochrany finanční stability a udržení důvěry v měnový a platební systém tváří v tvář této transformaci. Zavazujeme se k prosazování odpovědných a efektivních regulačních a dohledových rámců, které zachovají finanční stabilitu, podpoří hospodářský růst a vytvoří jasné cesty pro zdravé inovace v oblasti digitálních financí a digitálních aktiv, a zároveň dle potřeby zohlední přeshraniční příležitosti a výzvy. S nadějí očekáváme nadcházející shrnutí zjištění Rady pro finanční stabilitu (FSB) ze zpráv o přeshraničních důsledcích týkajících se globálních ujednání o </w:t>
      </w:r>
      <w:proofErr w:type="spellStart"/>
      <w:r w:rsidRPr="00113442">
        <w:t>stablecoinech</w:t>
      </w:r>
      <w:proofErr w:type="spellEnd"/>
      <w:r w:rsidRPr="00113442">
        <w:t xml:space="preserve"> a zdrojů dat o </w:t>
      </w:r>
      <w:proofErr w:type="spellStart"/>
      <w:r w:rsidRPr="00113442">
        <w:t>stablecoinech</w:t>
      </w:r>
      <w:proofErr w:type="spellEnd"/>
      <w:r w:rsidRPr="00113442">
        <w:t>, jejich dostupnosti a potenciálních výzev. Znovu potvrzujeme náš závazek k Plánům G20 pro posílení přeshraničních plateb a vyzýváme země, aby prosazovaly iniciativy na rozšíření provozní doby platebních systémů pro velké částky, podporovaly používání harmonizovaného datového modelu ISO 20022 a usnadňovaly přeshraniční přenos dat souvisejících s finančními službami, a to s ohledem na bezpečnost dat a vnitrostátní právní rámce.</w:t>
      </w:r>
    </w:p>
    <w:p w14:paraId="284A2CA8" w14:textId="77777777" w:rsidR="00113442" w:rsidRPr="00113442" w:rsidRDefault="00113442" w:rsidP="00113442">
      <w:pPr>
        <w:numPr>
          <w:ilvl w:val="0"/>
          <w:numId w:val="15"/>
        </w:numPr>
      </w:pPr>
      <w:r w:rsidRPr="00113442">
        <w:t xml:space="preserve">Znovu potvrzujeme náš závazek podporovat Finanční akční výbor (FATF) a regionální orgány podobné FATF při dohledu nad implementací standardů FATF pro boj proti praní špinavých peněz, financování terorismu a financování šíření zbraní hromadného ničení v souladu s ministerským prohlášením FATF přijatým v dubnu 2026. Vyzýváme země, </w:t>
      </w:r>
      <w:r w:rsidRPr="00113442">
        <w:lastRenderedPageBreak/>
        <w:t>aby zavedly dohled založený na riziku v oblasti boje proti praní špinavých peněz a financování terorismu a financování šíření zbraní hromadného ničení, a těšíme se na pokrok v implementaci prostřednictvím Fóra FATF pro učení a rozvoj, které letos uspořádají Spojené státy v Dallasu. Vyzýváme FATF, aby přijal opatření k zajištění toho, aby jurisdikce s významným využíváním virtuálních aktiv účinně a prioritně implementovaly standardy FATF týkající se virtuálních aktiv. Jsme povzbuzeni obnoveným zaměřením FATF na boj proti nezákonnému financování a praní špinavých peněz pocházejícímu z podvodů, zejména na vyvíjející se hrozbu plynoucí z podvodných sloučenin a zneužívání umělé inteligence podvodníky. Vítáme úsilí FATF o posílení partnerství veřejného a soukromého sektoru a zlepšení sdílení informací s cílem lépe odhalovat a narušovat nezákonné financování v rychlosti a rozsahu.</w:t>
      </w:r>
    </w:p>
    <w:p w14:paraId="409FFE86" w14:textId="77777777" w:rsidR="00113442" w:rsidRPr="00113442" w:rsidRDefault="00113442" w:rsidP="00113442">
      <w:r w:rsidRPr="00113442">
        <w:t> </w:t>
      </w:r>
    </w:p>
    <w:p w14:paraId="54F43E2F" w14:textId="77777777" w:rsidR="00113442" w:rsidRPr="00113442" w:rsidRDefault="00113442" w:rsidP="00113442">
      <w:r w:rsidRPr="00113442">
        <w:pict w14:anchorId="73160C6E">
          <v:rect id="_x0000_i1031" style="width:0;height:1.5pt" o:hralign="center" o:hrstd="t" o:hr="t" fillcolor="#a0a0a0" stroked="f"/>
        </w:pict>
      </w:r>
    </w:p>
    <w:p w14:paraId="3902734E" w14:textId="77777777" w:rsidR="00113442" w:rsidRPr="00113442" w:rsidRDefault="00113442" w:rsidP="00113442">
      <w:r w:rsidRPr="00113442">
        <w:t>1 Prohlášení schválili všichni přítomní členové G20 s výjimkou Číny, která vznesla námitky proti odstavcům 4, 10, 11 a 13.</w:t>
      </w:r>
    </w:p>
    <w:p w14:paraId="2E0E5632" w14:textId="77777777" w:rsidR="00113442" w:rsidRPr="00113442" w:rsidRDefault="00113442" w:rsidP="00113442">
      <w:r w:rsidRPr="00113442">
        <w:t>2 Nizozemsko, Polsko, Singapur, Stát Katar, Švýcarsko a Spojené arabské emiráty.</w:t>
      </w:r>
    </w:p>
    <w:p w14:paraId="770D945A" w14:textId="77777777" w:rsidR="00113442" w:rsidRPr="00113442" w:rsidRDefault="00113442" w:rsidP="00113442">
      <w:r w:rsidRPr="00113442">
        <w:t>3 Finanční akční výbor (FATF), Rada pro finanční stabilitu (FSB), Mezinárodní měnový fond (MMF), Organizace pro hospodářskou spolupráci a rozvoj (OECD) a Světová banka</w:t>
      </w:r>
    </w:p>
    <w:p w14:paraId="4771EA85" w14:textId="77777777" w:rsidR="000F4524" w:rsidRDefault="000F4524"/>
    <w:sectPr w:rsidR="000F45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A52"/>
    <w:multiLevelType w:val="multilevel"/>
    <w:tmpl w:val="D08AC4E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271BA5"/>
    <w:multiLevelType w:val="multilevel"/>
    <w:tmpl w:val="A1B886B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D75DBF"/>
    <w:multiLevelType w:val="multilevel"/>
    <w:tmpl w:val="683E9A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F91B33"/>
    <w:multiLevelType w:val="multilevel"/>
    <w:tmpl w:val="706073F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B6647C"/>
    <w:multiLevelType w:val="multilevel"/>
    <w:tmpl w:val="736EAEB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5122BB"/>
    <w:multiLevelType w:val="multilevel"/>
    <w:tmpl w:val="10F62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4266495">
    <w:abstractNumId w:val="5"/>
  </w:num>
  <w:num w:numId="2" w16cid:durableId="872231284">
    <w:abstractNumId w:val="2"/>
    <w:lvlOverride w:ilvl="0">
      <w:lvl w:ilvl="0">
        <w:numFmt w:val="decimal"/>
        <w:lvlText w:val="%1."/>
        <w:lvlJc w:val="left"/>
      </w:lvl>
    </w:lvlOverride>
  </w:num>
  <w:num w:numId="3" w16cid:durableId="110562844">
    <w:abstractNumId w:val="2"/>
    <w:lvlOverride w:ilvl="0">
      <w:lvl w:ilvl="0">
        <w:numFmt w:val="decimal"/>
        <w:lvlText w:val="%1."/>
        <w:lvlJc w:val="left"/>
      </w:lvl>
    </w:lvlOverride>
  </w:num>
  <w:num w:numId="4" w16cid:durableId="908348458">
    <w:abstractNumId w:val="2"/>
    <w:lvlOverride w:ilvl="0">
      <w:lvl w:ilvl="0">
        <w:numFmt w:val="decimal"/>
        <w:lvlText w:val="%1."/>
        <w:lvlJc w:val="left"/>
      </w:lvl>
    </w:lvlOverride>
  </w:num>
  <w:num w:numId="5" w16cid:durableId="553472627">
    <w:abstractNumId w:val="2"/>
    <w:lvlOverride w:ilvl="0">
      <w:lvl w:ilvl="0">
        <w:numFmt w:val="decimal"/>
        <w:lvlText w:val="%1."/>
        <w:lvlJc w:val="left"/>
      </w:lvl>
    </w:lvlOverride>
  </w:num>
  <w:num w:numId="6" w16cid:durableId="731661167">
    <w:abstractNumId w:val="2"/>
    <w:lvlOverride w:ilvl="0">
      <w:lvl w:ilvl="0">
        <w:numFmt w:val="decimal"/>
        <w:lvlText w:val="%1."/>
        <w:lvlJc w:val="left"/>
      </w:lvl>
    </w:lvlOverride>
  </w:num>
  <w:num w:numId="7" w16cid:durableId="1927960650">
    <w:abstractNumId w:val="2"/>
    <w:lvlOverride w:ilvl="0">
      <w:lvl w:ilvl="0">
        <w:numFmt w:val="decimal"/>
        <w:lvlText w:val="%1."/>
        <w:lvlJc w:val="left"/>
      </w:lvl>
    </w:lvlOverride>
  </w:num>
  <w:num w:numId="8" w16cid:durableId="1287617785">
    <w:abstractNumId w:val="4"/>
    <w:lvlOverride w:ilvl="0">
      <w:lvl w:ilvl="0">
        <w:numFmt w:val="decimal"/>
        <w:lvlText w:val="%1."/>
        <w:lvlJc w:val="left"/>
      </w:lvl>
    </w:lvlOverride>
  </w:num>
  <w:num w:numId="9" w16cid:durableId="414210295">
    <w:abstractNumId w:val="4"/>
    <w:lvlOverride w:ilvl="0">
      <w:lvl w:ilvl="0">
        <w:numFmt w:val="decimal"/>
        <w:lvlText w:val="%1."/>
        <w:lvlJc w:val="left"/>
      </w:lvl>
    </w:lvlOverride>
  </w:num>
  <w:num w:numId="10" w16cid:durableId="766268366">
    <w:abstractNumId w:val="0"/>
    <w:lvlOverride w:ilvl="0">
      <w:lvl w:ilvl="0">
        <w:numFmt w:val="decimal"/>
        <w:lvlText w:val="%1."/>
        <w:lvlJc w:val="left"/>
      </w:lvl>
    </w:lvlOverride>
  </w:num>
  <w:num w:numId="11" w16cid:durableId="2044285949">
    <w:abstractNumId w:val="1"/>
    <w:lvlOverride w:ilvl="0">
      <w:lvl w:ilvl="0">
        <w:numFmt w:val="decimal"/>
        <w:lvlText w:val="%1."/>
        <w:lvlJc w:val="left"/>
      </w:lvl>
    </w:lvlOverride>
  </w:num>
  <w:num w:numId="12" w16cid:durableId="1723870369">
    <w:abstractNumId w:val="1"/>
    <w:lvlOverride w:ilvl="0">
      <w:lvl w:ilvl="0">
        <w:numFmt w:val="decimal"/>
        <w:lvlText w:val="%1."/>
        <w:lvlJc w:val="left"/>
      </w:lvl>
    </w:lvlOverride>
  </w:num>
  <w:num w:numId="13" w16cid:durableId="1815172187">
    <w:abstractNumId w:val="3"/>
    <w:lvlOverride w:ilvl="0">
      <w:lvl w:ilvl="0">
        <w:numFmt w:val="decimal"/>
        <w:lvlText w:val="%1."/>
        <w:lvlJc w:val="left"/>
      </w:lvl>
    </w:lvlOverride>
  </w:num>
  <w:num w:numId="14" w16cid:durableId="666902133">
    <w:abstractNumId w:val="3"/>
    <w:lvlOverride w:ilvl="0">
      <w:lvl w:ilvl="0">
        <w:numFmt w:val="decimal"/>
        <w:lvlText w:val="%1."/>
        <w:lvlJc w:val="left"/>
      </w:lvl>
    </w:lvlOverride>
  </w:num>
  <w:num w:numId="15" w16cid:durableId="1490827976">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442"/>
    <w:rsid w:val="000F4524"/>
    <w:rsid w:val="00113442"/>
    <w:rsid w:val="00724C59"/>
    <w:rsid w:val="00A05852"/>
    <w:rsid w:val="00E16A23"/>
    <w:rsid w:val="00E744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A2356"/>
  <w15:chartTrackingRefBased/>
  <w15:docId w15:val="{E61C190D-5072-4366-BB70-48FEA346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heme="minorHAnsi" w:hAnsi="Courier New" w:cs="Courier New"/>
        <w:kern w:val="2"/>
        <w:sz w:val="22"/>
        <w:szCs w:val="22"/>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next w:val="Bezmezer"/>
    <w:qFormat/>
    <w:rsid w:val="00A05852"/>
  </w:style>
  <w:style w:type="paragraph" w:styleId="Nadpis1">
    <w:name w:val="heading 1"/>
    <w:basedOn w:val="Normln"/>
    <w:next w:val="Normln"/>
    <w:link w:val="Nadpis1Char"/>
    <w:uiPriority w:val="9"/>
    <w:qFormat/>
    <w:rsid w:val="00113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113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11344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11344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113442"/>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113442"/>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113442"/>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113442"/>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113442"/>
    <w:pPr>
      <w:keepNext/>
      <w:keepLines/>
      <w:spacing w:after="0"/>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05852"/>
    <w:pPr>
      <w:spacing w:after="0" w:line="240" w:lineRule="auto"/>
    </w:pPr>
  </w:style>
  <w:style w:type="character" w:customStyle="1" w:styleId="Nadpis1Char">
    <w:name w:val="Nadpis 1 Char"/>
    <w:basedOn w:val="Standardnpsmoodstavce"/>
    <w:link w:val="Nadpis1"/>
    <w:uiPriority w:val="9"/>
    <w:rsid w:val="0011344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11344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113442"/>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113442"/>
    <w:rPr>
      <w:rFonts w:asciiTheme="minorHAnsi" w:eastAsiaTheme="majorEastAsia" w:hAnsiTheme="minorHAnsi" w:cstheme="majorBidi"/>
      <w:i/>
      <w:iCs/>
      <w:color w:val="0F4761" w:themeColor="accent1" w:themeShade="BF"/>
    </w:rPr>
  </w:style>
  <w:style w:type="character" w:customStyle="1" w:styleId="Nadpis5Char">
    <w:name w:val="Nadpis 5 Char"/>
    <w:basedOn w:val="Standardnpsmoodstavce"/>
    <w:link w:val="Nadpis5"/>
    <w:uiPriority w:val="9"/>
    <w:semiHidden/>
    <w:rsid w:val="00113442"/>
    <w:rPr>
      <w:rFonts w:asciiTheme="minorHAnsi" w:eastAsiaTheme="majorEastAsia" w:hAnsiTheme="minorHAnsi" w:cstheme="majorBidi"/>
      <w:color w:val="0F4761" w:themeColor="accent1" w:themeShade="BF"/>
    </w:rPr>
  </w:style>
  <w:style w:type="character" w:customStyle="1" w:styleId="Nadpis6Char">
    <w:name w:val="Nadpis 6 Char"/>
    <w:basedOn w:val="Standardnpsmoodstavce"/>
    <w:link w:val="Nadpis6"/>
    <w:uiPriority w:val="9"/>
    <w:semiHidden/>
    <w:rsid w:val="00113442"/>
    <w:rPr>
      <w:rFonts w:asciiTheme="minorHAnsi" w:eastAsiaTheme="majorEastAsia" w:hAnsiTheme="minorHAnsi" w:cstheme="majorBidi"/>
      <w:i/>
      <w:iCs/>
      <w:color w:val="595959" w:themeColor="text1" w:themeTint="A6"/>
    </w:rPr>
  </w:style>
  <w:style w:type="character" w:customStyle="1" w:styleId="Nadpis7Char">
    <w:name w:val="Nadpis 7 Char"/>
    <w:basedOn w:val="Standardnpsmoodstavce"/>
    <w:link w:val="Nadpis7"/>
    <w:uiPriority w:val="9"/>
    <w:semiHidden/>
    <w:rsid w:val="00113442"/>
    <w:rPr>
      <w:rFonts w:asciiTheme="minorHAnsi" w:eastAsiaTheme="majorEastAsia" w:hAnsiTheme="minorHAnsi" w:cstheme="majorBidi"/>
      <w:color w:val="595959" w:themeColor="text1" w:themeTint="A6"/>
    </w:rPr>
  </w:style>
  <w:style w:type="character" w:customStyle="1" w:styleId="Nadpis8Char">
    <w:name w:val="Nadpis 8 Char"/>
    <w:basedOn w:val="Standardnpsmoodstavce"/>
    <w:link w:val="Nadpis8"/>
    <w:uiPriority w:val="9"/>
    <w:semiHidden/>
    <w:rsid w:val="00113442"/>
    <w:rPr>
      <w:rFonts w:asciiTheme="minorHAnsi" w:eastAsiaTheme="majorEastAsia" w:hAnsiTheme="minorHAnsi" w:cstheme="majorBidi"/>
      <w:i/>
      <w:iCs/>
      <w:color w:val="272727" w:themeColor="text1" w:themeTint="D8"/>
    </w:rPr>
  </w:style>
  <w:style w:type="character" w:customStyle="1" w:styleId="Nadpis9Char">
    <w:name w:val="Nadpis 9 Char"/>
    <w:basedOn w:val="Standardnpsmoodstavce"/>
    <w:link w:val="Nadpis9"/>
    <w:uiPriority w:val="9"/>
    <w:semiHidden/>
    <w:rsid w:val="00113442"/>
    <w:rPr>
      <w:rFonts w:asciiTheme="minorHAnsi" w:eastAsiaTheme="majorEastAsia" w:hAnsiTheme="minorHAnsi" w:cstheme="majorBidi"/>
      <w:color w:val="272727" w:themeColor="text1" w:themeTint="D8"/>
    </w:rPr>
  </w:style>
  <w:style w:type="paragraph" w:styleId="Nzev">
    <w:name w:val="Title"/>
    <w:basedOn w:val="Normln"/>
    <w:next w:val="Normln"/>
    <w:link w:val="NzevChar"/>
    <w:uiPriority w:val="10"/>
    <w:qFormat/>
    <w:rsid w:val="00113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1344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1344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13442"/>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113442"/>
    <w:pPr>
      <w:spacing w:before="160"/>
      <w:jc w:val="center"/>
    </w:pPr>
    <w:rPr>
      <w:i/>
      <w:iCs/>
      <w:color w:val="404040" w:themeColor="text1" w:themeTint="BF"/>
    </w:rPr>
  </w:style>
  <w:style w:type="character" w:customStyle="1" w:styleId="CittChar">
    <w:name w:val="Citát Char"/>
    <w:basedOn w:val="Standardnpsmoodstavce"/>
    <w:link w:val="Citt"/>
    <w:uiPriority w:val="29"/>
    <w:rsid w:val="00113442"/>
    <w:rPr>
      <w:i/>
      <w:iCs/>
      <w:color w:val="404040" w:themeColor="text1" w:themeTint="BF"/>
    </w:rPr>
  </w:style>
  <w:style w:type="paragraph" w:styleId="Odstavecseseznamem">
    <w:name w:val="List Paragraph"/>
    <w:basedOn w:val="Normln"/>
    <w:uiPriority w:val="34"/>
    <w:qFormat/>
    <w:rsid w:val="00113442"/>
    <w:pPr>
      <w:ind w:left="720"/>
      <w:contextualSpacing/>
    </w:pPr>
  </w:style>
  <w:style w:type="character" w:styleId="Zdraznnintenzivn">
    <w:name w:val="Intense Emphasis"/>
    <w:basedOn w:val="Standardnpsmoodstavce"/>
    <w:uiPriority w:val="21"/>
    <w:qFormat/>
    <w:rsid w:val="00113442"/>
    <w:rPr>
      <w:i/>
      <w:iCs/>
      <w:color w:val="0F4761" w:themeColor="accent1" w:themeShade="BF"/>
    </w:rPr>
  </w:style>
  <w:style w:type="paragraph" w:styleId="Vrazncitt">
    <w:name w:val="Intense Quote"/>
    <w:basedOn w:val="Normln"/>
    <w:next w:val="Normln"/>
    <w:link w:val="VrazncittChar"/>
    <w:uiPriority w:val="30"/>
    <w:qFormat/>
    <w:rsid w:val="00113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113442"/>
    <w:rPr>
      <w:i/>
      <w:iCs/>
      <w:color w:val="0F4761" w:themeColor="accent1" w:themeShade="BF"/>
    </w:rPr>
  </w:style>
  <w:style w:type="character" w:styleId="Odkazintenzivn">
    <w:name w:val="Intense Reference"/>
    <w:basedOn w:val="Standardnpsmoodstavce"/>
    <w:uiPriority w:val="32"/>
    <w:qFormat/>
    <w:rsid w:val="001134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860770">
      <w:bodyDiv w:val="1"/>
      <w:marLeft w:val="0"/>
      <w:marRight w:val="0"/>
      <w:marTop w:val="0"/>
      <w:marBottom w:val="0"/>
      <w:divBdr>
        <w:top w:val="none" w:sz="0" w:space="0" w:color="auto"/>
        <w:left w:val="none" w:sz="0" w:space="0" w:color="auto"/>
        <w:bottom w:val="none" w:sz="0" w:space="0" w:color="auto"/>
        <w:right w:val="none" w:sz="0" w:space="0" w:color="auto"/>
      </w:divBdr>
      <w:divsChild>
        <w:div w:id="515972268">
          <w:marLeft w:val="0"/>
          <w:marRight w:val="0"/>
          <w:marTop w:val="0"/>
          <w:marBottom w:val="300"/>
          <w:divBdr>
            <w:top w:val="none" w:sz="0" w:space="0" w:color="auto"/>
            <w:left w:val="none" w:sz="0" w:space="0" w:color="auto"/>
            <w:bottom w:val="none" w:sz="0" w:space="0" w:color="auto"/>
            <w:right w:val="none" w:sz="0" w:space="0" w:color="auto"/>
          </w:divBdr>
        </w:div>
        <w:div w:id="829906007">
          <w:marLeft w:val="0"/>
          <w:marRight w:val="0"/>
          <w:marTop w:val="0"/>
          <w:marBottom w:val="300"/>
          <w:divBdr>
            <w:top w:val="none" w:sz="0" w:space="0" w:color="auto"/>
            <w:left w:val="none" w:sz="0" w:space="0" w:color="auto"/>
            <w:bottom w:val="none" w:sz="0" w:space="0" w:color="auto"/>
            <w:right w:val="none" w:sz="0" w:space="0" w:color="auto"/>
          </w:divBdr>
          <w:divsChild>
            <w:div w:id="60374167">
              <w:marLeft w:val="0"/>
              <w:marRight w:val="0"/>
              <w:marTop w:val="0"/>
              <w:marBottom w:val="0"/>
              <w:divBdr>
                <w:top w:val="none" w:sz="0" w:space="0" w:color="auto"/>
                <w:left w:val="none" w:sz="0" w:space="0" w:color="auto"/>
                <w:bottom w:val="none" w:sz="0" w:space="0" w:color="auto"/>
                <w:right w:val="none" w:sz="0" w:space="0" w:color="auto"/>
              </w:divBdr>
            </w:div>
            <w:div w:id="6190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819398">
      <w:bodyDiv w:val="1"/>
      <w:marLeft w:val="0"/>
      <w:marRight w:val="0"/>
      <w:marTop w:val="0"/>
      <w:marBottom w:val="0"/>
      <w:divBdr>
        <w:top w:val="none" w:sz="0" w:space="0" w:color="auto"/>
        <w:left w:val="none" w:sz="0" w:space="0" w:color="auto"/>
        <w:bottom w:val="none" w:sz="0" w:space="0" w:color="auto"/>
        <w:right w:val="none" w:sz="0" w:space="0" w:color="auto"/>
      </w:divBdr>
      <w:divsChild>
        <w:div w:id="455949136">
          <w:marLeft w:val="0"/>
          <w:marRight w:val="0"/>
          <w:marTop w:val="0"/>
          <w:marBottom w:val="300"/>
          <w:divBdr>
            <w:top w:val="none" w:sz="0" w:space="0" w:color="auto"/>
            <w:left w:val="none" w:sz="0" w:space="0" w:color="auto"/>
            <w:bottom w:val="none" w:sz="0" w:space="0" w:color="auto"/>
            <w:right w:val="none" w:sz="0" w:space="0" w:color="auto"/>
          </w:divBdr>
        </w:div>
        <w:div w:id="1571846105">
          <w:marLeft w:val="0"/>
          <w:marRight w:val="0"/>
          <w:marTop w:val="0"/>
          <w:marBottom w:val="300"/>
          <w:divBdr>
            <w:top w:val="none" w:sz="0" w:space="0" w:color="auto"/>
            <w:left w:val="none" w:sz="0" w:space="0" w:color="auto"/>
            <w:bottom w:val="none" w:sz="0" w:space="0" w:color="auto"/>
            <w:right w:val="none" w:sz="0" w:space="0" w:color="auto"/>
          </w:divBdr>
          <w:divsChild>
            <w:div w:id="23405416">
              <w:marLeft w:val="0"/>
              <w:marRight w:val="0"/>
              <w:marTop w:val="0"/>
              <w:marBottom w:val="0"/>
              <w:divBdr>
                <w:top w:val="none" w:sz="0" w:space="0" w:color="auto"/>
                <w:left w:val="none" w:sz="0" w:space="0" w:color="auto"/>
                <w:bottom w:val="none" w:sz="0" w:space="0" w:color="auto"/>
                <w:right w:val="none" w:sz="0" w:space="0" w:color="auto"/>
              </w:divBdr>
            </w:div>
            <w:div w:id="194472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2640</Words>
  <Characters>15576</Characters>
  <Application>Microsoft Office Word</Application>
  <DocSecurity>0</DocSecurity>
  <Lines>129</Lines>
  <Paragraphs>36</Paragraphs>
  <ScaleCrop>false</ScaleCrop>
  <Company/>
  <LinksUpToDate>false</LinksUpToDate>
  <CharactersWithSpaces>18180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Kojzarová</dc:creator>
  <cp:keywords/>
  <dc:description/>
  <cp:lastModifiedBy>Marcela Kojzarová</cp:lastModifiedBy>
  <cp:revision>1</cp:revision>
  <dcterms:created xsi:type="dcterms:W3CDTF">2026-09-03T19:04:00Z</dcterms:created>
  <dcterms:modified xsi:type="dcterms:W3CDTF">2026-09-03T19:05:00Z</dcterms:modified>
</cp:coreProperties>
</file>